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D4" w:rsidRPr="00A158B0" w:rsidRDefault="005B54D6" w:rsidP="00A21FD4">
      <w:pPr>
        <w:jc w:val="center"/>
        <w:rPr>
          <w:rFonts w:ascii="Times New Roman"/>
          <w:sz w:val="36"/>
        </w:rPr>
      </w:pPr>
      <w:r>
        <w:rPr>
          <w:rFonts w:ascii="Times New Roman"/>
          <w:b/>
          <w:sz w:val="36"/>
        </w:rPr>
        <w:t>METHODOLOGY I</w:t>
      </w:r>
    </w:p>
    <w:p w:rsidR="00A21FD4" w:rsidRPr="002C6D44" w:rsidRDefault="00A21FD4" w:rsidP="00A21FD4"/>
    <w:p w:rsidR="00A21FD4" w:rsidRPr="00A158B0" w:rsidRDefault="0083392C" w:rsidP="00A21FD4">
      <w:pPr>
        <w:jc w:val="both"/>
        <w:rPr>
          <w:rFonts w:ascii="Times New Roman"/>
          <w:szCs w:val="24"/>
        </w:rPr>
      </w:pPr>
      <w:proofErr w:type="spellStart"/>
      <w:r>
        <w:rPr>
          <w:rFonts w:ascii="Times New Roman"/>
          <w:b/>
          <w:szCs w:val="24"/>
        </w:rPr>
        <w:t>Autumn</w:t>
      </w:r>
      <w:proofErr w:type="spellEnd"/>
      <w:r w:rsidR="00A21FD4" w:rsidRPr="00A158B0">
        <w:rPr>
          <w:rFonts w:ascii="Times New Roman"/>
          <w:b/>
          <w:szCs w:val="24"/>
        </w:rPr>
        <w:t>-201</w:t>
      </w:r>
      <w:r w:rsidR="0081179A">
        <w:rPr>
          <w:rFonts w:ascii="Times New Roman"/>
          <w:b/>
          <w:szCs w:val="24"/>
        </w:rPr>
        <w:t>9</w:t>
      </w:r>
    </w:p>
    <w:p w:rsidR="00A21FD4" w:rsidRPr="00A158B0" w:rsidRDefault="00A21FD4" w:rsidP="00A21FD4">
      <w:pPr>
        <w:jc w:val="both"/>
        <w:rPr>
          <w:rFonts w:ascii="Times New Roman"/>
          <w:b/>
          <w:szCs w:val="24"/>
        </w:rPr>
      </w:pPr>
    </w:p>
    <w:p w:rsidR="00A21FD4" w:rsidRPr="00A158B0" w:rsidRDefault="00A21FD4" w:rsidP="00A21FD4">
      <w:pPr>
        <w:jc w:val="both"/>
        <w:rPr>
          <w:rFonts w:ascii="Times New Roman"/>
          <w:szCs w:val="24"/>
        </w:rPr>
      </w:pPr>
      <w:proofErr w:type="spellStart"/>
      <w:r w:rsidRPr="00A158B0">
        <w:rPr>
          <w:rFonts w:ascii="Times New Roman"/>
          <w:b/>
          <w:sz w:val="32"/>
          <w:szCs w:val="24"/>
        </w:rPr>
        <w:t>Lecturer</w:t>
      </w:r>
      <w:proofErr w:type="spellEnd"/>
      <w:r w:rsidRPr="00A158B0">
        <w:rPr>
          <w:rFonts w:ascii="Times New Roman"/>
          <w:b/>
          <w:sz w:val="32"/>
          <w:szCs w:val="24"/>
        </w:rPr>
        <w:t>:</w:t>
      </w:r>
      <w:r w:rsidRPr="00A158B0">
        <w:rPr>
          <w:rFonts w:ascii="Times New Roman"/>
          <w:b/>
          <w:szCs w:val="24"/>
        </w:rPr>
        <w:t xml:space="preserve"> </w:t>
      </w:r>
      <w:r w:rsidRPr="00A158B0">
        <w:rPr>
          <w:rFonts w:ascii="Times New Roman"/>
          <w:szCs w:val="24"/>
        </w:rPr>
        <w:t>Dr. Mine Yıldız</w:t>
      </w:r>
    </w:p>
    <w:p w:rsidR="00A21FD4" w:rsidRPr="00A158B0" w:rsidRDefault="00A21FD4" w:rsidP="00A21FD4">
      <w:pPr>
        <w:jc w:val="both"/>
        <w:rPr>
          <w:rFonts w:ascii="Times New Roman"/>
          <w:szCs w:val="24"/>
        </w:rPr>
      </w:pPr>
      <w:proofErr w:type="spellStart"/>
      <w:r w:rsidRPr="00A158B0">
        <w:rPr>
          <w:rFonts w:ascii="Times New Roman"/>
          <w:b/>
          <w:sz w:val="32"/>
          <w:szCs w:val="24"/>
        </w:rPr>
        <w:t>Email</w:t>
      </w:r>
      <w:proofErr w:type="spellEnd"/>
      <w:r w:rsidRPr="00A158B0">
        <w:rPr>
          <w:rFonts w:ascii="Times New Roman"/>
          <w:b/>
          <w:sz w:val="32"/>
          <w:szCs w:val="24"/>
        </w:rPr>
        <w:t>:</w:t>
      </w:r>
      <w:r w:rsidRPr="00A158B0">
        <w:rPr>
          <w:rFonts w:ascii="Times New Roman"/>
          <w:sz w:val="32"/>
          <w:szCs w:val="24"/>
        </w:rPr>
        <w:t xml:space="preserve"> </w:t>
      </w:r>
      <w:hyperlink r:id="rId5" w:history="1">
        <w:r w:rsidRPr="00A158B0">
          <w:rPr>
            <w:rStyle w:val="Kpr"/>
            <w:rFonts w:ascii="Times New Roman"/>
            <w:szCs w:val="24"/>
          </w:rPr>
          <w:t>mine.yazici@atauni.edu.tr</w:t>
        </w:r>
      </w:hyperlink>
    </w:p>
    <w:p w:rsidR="00A21FD4" w:rsidRPr="00A158B0" w:rsidRDefault="00A21FD4" w:rsidP="00A21FD4">
      <w:pPr>
        <w:jc w:val="both"/>
        <w:outlineLvl w:val="0"/>
        <w:rPr>
          <w:rFonts w:ascii="Times New Roman"/>
          <w:szCs w:val="24"/>
        </w:rPr>
      </w:pPr>
      <w:r w:rsidRPr="00A158B0">
        <w:rPr>
          <w:rFonts w:ascii="Times New Roman"/>
          <w:b/>
          <w:sz w:val="32"/>
          <w:szCs w:val="24"/>
        </w:rPr>
        <w:t xml:space="preserve">Office </w:t>
      </w:r>
      <w:proofErr w:type="spellStart"/>
      <w:r w:rsidRPr="00A158B0">
        <w:rPr>
          <w:rFonts w:ascii="Times New Roman"/>
          <w:b/>
          <w:sz w:val="32"/>
          <w:szCs w:val="24"/>
        </w:rPr>
        <w:t>Hours</w:t>
      </w:r>
      <w:proofErr w:type="spellEnd"/>
      <w:r w:rsidRPr="00A158B0">
        <w:rPr>
          <w:rFonts w:ascii="Times New Roman"/>
          <w:b/>
          <w:sz w:val="32"/>
          <w:szCs w:val="24"/>
        </w:rPr>
        <w:t>:</w:t>
      </w:r>
      <w:r w:rsidRPr="00A158B0">
        <w:rPr>
          <w:rFonts w:ascii="Times New Roman"/>
          <w:sz w:val="32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Mondays</w:t>
      </w:r>
      <w:proofErr w:type="spellEnd"/>
      <w:r w:rsidRPr="00A158B0">
        <w:rPr>
          <w:rFonts w:ascii="Times New Roman"/>
          <w:szCs w:val="24"/>
        </w:rPr>
        <w:t xml:space="preserve"> </w:t>
      </w:r>
      <w:r w:rsidR="0081179A">
        <w:rPr>
          <w:rFonts w:ascii="Times New Roman"/>
          <w:szCs w:val="24"/>
        </w:rPr>
        <w:t>14.00-16.00</w:t>
      </w:r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and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by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appointment</w:t>
      </w:r>
      <w:proofErr w:type="spellEnd"/>
    </w:p>
    <w:p w:rsidR="00A21FD4" w:rsidRPr="00A158B0" w:rsidRDefault="00A21FD4" w:rsidP="00A21FD4">
      <w:pPr>
        <w:jc w:val="both"/>
        <w:outlineLvl w:val="0"/>
        <w:rPr>
          <w:rFonts w:ascii="Times New Roman"/>
          <w:sz w:val="32"/>
          <w:szCs w:val="24"/>
        </w:rPr>
      </w:pPr>
    </w:p>
    <w:p w:rsidR="00A21FD4" w:rsidRPr="00A158B0" w:rsidRDefault="00A21FD4" w:rsidP="00A21FD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/>
          <w:b/>
          <w:sz w:val="32"/>
          <w:szCs w:val="24"/>
        </w:rPr>
      </w:pPr>
      <w:proofErr w:type="spellStart"/>
      <w:r w:rsidRPr="00A158B0">
        <w:rPr>
          <w:rFonts w:ascii="Times New Roman"/>
          <w:b/>
          <w:sz w:val="32"/>
          <w:szCs w:val="24"/>
        </w:rPr>
        <w:t>Course</w:t>
      </w:r>
      <w:proofErr w:type="spellEnd"/>
      <w:r w:rsidRPr="00A158B0">
        <w:rPr>
          <w:rFonts w:ascii="Times New Roman"/>
          <w:b/>
          <w:sz w:val="32"/>
          <w:szCs w:val="24"/>
        </w:rPr>
        <w:t xml:space="preserve"> </w:t>
      </w:r>
      <w:proofErr w:type="spellStart"/>
      <w:r w:rsidRPr="00A158B0">
        <w:rPr>
          <w:rFonts w:ascii="Times New Roman"/>
          <w:b/>
          <w:sz w:val="32"/>
          <w:szCs w:val="24"/>
        </w:rPr>
        <w:t>Requirements</w:t>
      </w:r>
      <w:proofErr w:type="spellEnd"/>
      <w:r w:rsidRPr="00A158B0">
        <w:rPr>
          <w:rFonts w:ascii="Times New Roman"/>
          <w:b/>
          <w:sz w:val="32"/>
          <w:szCs w:val="24"/>
        </w:rPr>
        <w:t>:</w:t>
      </w:r>
    </w:p>
    <w:p w:rsidR="00A21FD4" w:rsidRPr="00A158B0" w:rsidRDefault="00A21FD4" w:rsidP="00A21FD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/>
          <w:szCs w:val="24"/>
        </w:rPr>
      </w:pPr>
      <w:proofErr w:type="spellStart"/>
      <w:r w:rsidRPr="00A158B0">
        <w:rPr>
          <w:rFonts w:ascii="Times New Roman"/>
          <w:szCs w:val="24"/>
        </w:rPr>
        <w:t>Attendance</w:t>
      </w:r>
      <w:proofErr w:type="spellEnd"/>
      <w:r w:rsidRPr="00A158B0">
        <w:rPr>
          <w:rFonts w:ascii="Times New Roman"/>
          <w:szCs w:val="24"/>
        </w:rPr>
        <w:t xml:space="preserve"> in </w:t>
      </w:r>
      <w:proofErr w:type="spellStart"/>
      <w:r w:rsidRPr="00A158B0">
        <w:rPr>
          <w:rFonts w:ascii="Times New Roman"/>
          <w:szCs w:val="24"/>
        </w:rPr>
        <w:t>class</w:t>
      </w:r>
      <w:proofErr w:type="spellEnd"/>
      <w:r w:rsidRPr="00A158B0">
        <w:rPr>
          <w:rFonts w:ascii="Times New Roman"/>
          <w:szCs w:val="24"/>
        </w:rPr>
        <w:t xml:space="preserve"> is </w:t>
      </w:r>
      <w:r w:rsidRPr="00A158B0">
        <w:rPr>
          <w:rFonts w:ascii="Times New Roman"/>
          <w:b/>
          <w:szCs w:val="24"/>
        </w:rPr>
        <w:t>MANDATORY</w:t>
      </w:r>
      <w:r w:rsidRPr="00A158B0">
        <w:rPr>
          <w:rFonts w:ascii="Times New Roman"/>
          <w:szCs w:val="24"/>
        </w:rPr>
        <w:t xml:space="preserve">. </w:t>
      </w:r>
      <w:proofErr w:type="spellStart"/>
      <w:r w:rsidRPr="00A158B0">
        <w:rPr>
          <w:rFonts w:ascii="Times New Roman"/>
          <w:szCs w:val="24"/>
        </w:rPr>
        <w:t>Please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see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the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lecturer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directly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if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you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need</w:t>
      </w:r>
      <w:proofErr w:type="spellEnd"/>
      <w:r w:rsidRPr="00A158B0">
        <w:rPr>
          <w:rFonts w:ascii="Times New Roman"/>
          <w:szCs w:val="24"/>
        </w:rPr>
        <w:t xml:space="preserve"> an </w:t>
      </w:r>
      <w:proofErr w:type="spellStart"/>
      <w:r w:rsidRPr="00A158B0">
        <w:rPr>
          <w:rFonts w:ascii="Times New Roman"/>
          <w:szCs w:val="24"/>
        </w:rPr>
        <w:t>excused</w:t>
      </w:r>
      <w:proofErr w:type="spellEnd"/>
      <w:r w:rsidRPr="00A158B0">
        <w:rPr>
          <w:rFonts w:ascii="Times New Roman"/>
          <w:szCs w:val="24"/>
        </w:rPr>
        <w:t xml:space="preserve"> </w:t>
      </w:r>
      <w:proofErr w:type="spellStart"/>
      <w:r w:rsidRPr="00A158B0">
        <w:rPr>
          <w:rFonts w:ascii="Times New Roman"/>
          <w:szCs w:val="24"/>
        </w:rPr>
        <w:t>absence</w:t>
      </w:r>
      <w:proofErr w:type="spellEnd"/>
      <w:r w:rsidRPr="00A158B0">
        <w:rPr>
          <w:rFonts w:ascii="Times New Roman"/>
          <w:szCs w:val="24"/>
        </w:rPr>
        <w:t xml:space="preserve">. </w:t>
      </w:r>
      <w:proofErr w:type="spellStart"/>
      <w:r w:rsidRPr="00A158B0">
        <w:rPr>
          <w:rFonts w:ascii="Times New Roman"/>
          <w:szCs w:val="24"/>
          <w:u w:val="single"/>
        </w:rPr>
        <w:t>Readings</w:t>
      </w:r>
      <w:proofErr w:type="spellEnd"/>
      <w:r w:rsidRPr="00A158B0">
        <w:rPr>
          <w:rFonts w:ascii="Times New Roman"/>
          <w:szCs w:val="24"/>
          <w:u w:val="single"/>
        </w:rPr>
        <w:t xml:space="preserve"> </w:t>
      </w:r>
      <w:proofErr w:type="spellStart"/>
      <w:r w:rsidRPr="00A158B0">
        <w:rPr>
          <w:rFonts w:ascii="Times New Roman"/>
          <w:szCs w:val="24"/>
          <w:u w:val="single"/>
        </w:rPr>
        <w:t>are</w:t>
      </w:r>
      <w:proofErr w:type="spellEnd"/>
      <w:r w:rsidRPr="00A158B0">
        <w:rPr>
          <w:rFonts w:ascii="Times New Roman"/>
          <w:szCs w:val="24"/>
          <w:u w:val="single"/>
        </w:rPr>
        <w:t xml:space="preserve"> </w:t>
      </w:r>
      <w:proofErr w:type="spellStart"/>
      <w:r w:rsidRPr="00A158B0">
        <w:rPr>
          <w:rFonts w:ascii="Times New Roman"/>
          <w:szCs w:val="24"/>
          <w:u w:val="single"/>
        </w:rPr>
        <w:t>due</w:t>
      </w:r>
      <w:proofErr w:type="spellEnd"/>
      <w:r w:rsidRPr="00A158B0">
        <w:rPr>
          <w:rFonts w:ascii="Times New Roman"/>
          <w:szCs w:val="24"/>
          <w:u w:val="single"/>
        </w:rPr>
        <w:t xml:space="preserve"> on </w:t>
      </w:r>
      <w:proofErr w:type="spellStart"/>
      <w:r w:rsidRPr="00A158B0">
        <w:rPr>
          <w:rFonts w:ascii="Times New Roman"/>
          <w:szCs w:val="24"/>
          <w:u w:val="single"/>
        </w:rPr>
        <w:t>the</w:t>
      </w:r>
      <w:proofErr w:type="spellEnd"/>
      <w:r w:rsidRPr="00A158B0">
        <w:rPr>
          <w:rFonts w:ascii="Times New Roman"/>
          <w:szCs w:val="24"/>
          <w:u w:val="single"/>
        </w:rPr>
        <w:t xml:space="preserve"> </w:t>
      </w:r>
      <w:proofErr w:type="spellStart"/>
      <w:r w:rsidRPr="00A158B0">
        <w:rPr>
          <w:rFonts w:ascii="Times New Roman"/>
          <w:szCs w:val="24"/>
          <w:u w:val="single"/>
        </w:rPr>
        <w:t>day</w:t>
      </w:r>
      <w:proofErr w:type="spellEnd"/>
      <w:r w:rsidRPr="00A158B0">
        <w:rPr>
          <w:rFonts w:ascii="Times New Roman"/>
          <w:szCs w:val="24"/>
          <w:u w:val="single"/>
        </w:rPr>
        <w:t xml:space="preserve"> </w:t>
      </w:r>
      <w:proofErr w:type="spellStart"/>
      <w:r w:rsidRPr="00A158B0">
        <w:rPr>
          <w:rFonts w:ascii="Times New Roman"/>
          <w:szCs w:val="24"/>
          <w:u w:val="single"/>
        </w:rPr>
        <w:t>that</w:t>
      </w:r>
      <w:proofErr w:type="spellEnd"/>
      <w:r w:rsidRPr="00A158B0">
        <w:rPr>
          <w:rFonts w:ascii="Times New Roman"/>
          <w:szCs w:val="24"/>
          <w:u w:val="single"/>
        </w:rPr>
        <w:t xml:space="preserve"> </w:t>
      </w:r>
      <w:proofErr w:type="spellStart"/>
      <w:r w:rsidRPr="00A158B0">
        <w:rPr>
          <w:rFonts w:ascii="Times New Roman"/>
          <w:szCs w:val="24"/>
          <w:u w:val="single"/>
        </w:rPr>
        <w:t>they</w:t>
      </w:r>
      <w:proofErr w:type="spellEnd"/>
      <w:r w:rsidRPr="00A158B0">
        <w:rPr>
          <w:rFonts w:ascii="Times New Roman"/>
          <w:szCs w:val="24"/>
          <w:u w:val="single"/>
        </w:rPr>
        <w:t xml:space="preserve"> </w:t>
      </w:r>
      <w:proofErr w:type="spellStart"/>
      <w:r w:rsidRPr="00A158B0">
        <w:rPr>
          <w:rFonts w:ascii="Times New Roman"/>
          <w:szCs w:val="24"/>
          <w:u w:val="single"/>
        </w:rPr>
        <w:t>are</w:t>
      </w:r>
      <w:proofErr w:type="spellEnd"/>
      <w:r w:rsidRPr="00A158B0">
        <w:rPr>
          <w:rFonts w:ascii="Times New Roman"/>
          <w:szCs w:val="24"/>
          <w:u w:val="single"/>
        </w:rPr>
        <w:t xml:space="preserve"> </w:t>
      </w:r>
      <w:proofErr w:type="spellStart"/>
      <w:r w:rsidRPr="00A158B0">
        <w:rPr>
          <w:rFonts w:ascii="Times New Roman"/>
          <w:szCs w:val="24"/>
          <w:u w:val="single"/>
        </w:rPr>
        <w:t>listed</w:t>
      </w:r>
      <w:proofErr w:type="spellEnd"/>
      <w:r w:rsidRPr="00A158B0">
        <w:rPr>
          <w:rFonts w:ascii="Times New Roman"/>
          <w:szCs w:val="24"/>
          <w:u w:val="single"/>
        </w:rPr>
        <w:t xml:space="preserve">.  </w:t>
      </w:r>
    </w:p>
    <w:p w:rsidR="00A21FD4" w:rsidRDefault="00A21FD4" w:rsidP="00A2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bCs/>
          <w:szCs w:val="24"/>
        </w:rPr>
      </w:pPr>
    </w:p>
    <w:p w:rsidR="00A21FD4" w:rsidRPr="00A158B0" w:rsidRDefault="00A21FD4" w:rsidP="00A2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bCs/>
          <w:sz w:val="32"/>
          <w:szCs w:val="24"/>
        </w:rPr>
      </w:pPr>
      <w:proofErr w:type="spellStart"/>
      <w:r w:rsidRPr="00A158B0">
        <w:rPr>
          <w:rFonts w:ascii="Times New Roman"/>
          <w:b/>
          <w:bCs/>
          <w:sz w:val="32"/>
          <w:szCs w:val="24"/>
        </w:rPr>
        <w:t>Objectives</w:t>
      </w:r>
      <w:proofErr w:type="spellEnd"/>
      <w:r w:rsidRPr="00A158B0">
        <w:rPr>
          <w:rFonts w:ascii="Times New Roman"/>
          <w:b/>
          <w:bCs/>
          <w:sz w:val="32"/>
          <w:szCs w:val="24"/>
        </w:rPr>
        <w:t>:</w:t>
      </w:r>
    </w:p>
    <w:p w:rsidR="009C28B6" w:rsidRDefault="009C28B6" w:rsidP="009C28B6">
      <w:pPr>
        <w:spacing w:before="100" w:beforeAutospacing="1" w:after="100" w:afterAutospacing="1" w:line="360" w:lineRule="auto"/>
        <w:jc w:val="both"/>
        <w:rPr>
          <w:rFonts w:ascii="Times New Roman"/>
          <w:b/>
          <w:bCs/>
          <w:color w:val="000000"/>
          <w:sz w:val="32"/>
          <w:szCs w:val="24"/>
        </w:rPr>
      </w:pPr>
      <w:r>
        <w:rPr>
          <w:rFonts w:hAnsi="Arial" w:cs="Arial"/>
          <w:sz w:val="20"/>
        </w:rPr>
        <w:tab/>
      </w:r>
      <w:proofErr w:type="spellStart"/>
      <w:r>
        <w:rPr>
          <w:rFonts w:hAnsi="Arial" w:cs="Arial"/>
          <w:sz w:val="20"/>
        </w:rPr>
        <w:t>You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will</w:t>
      </w:r>
      <w:proofErr w:type="spellEnd"/>
      <w:r>
        <w:rPr>
          <w:rFonts w:hAnsi="Arial" w:cs="Arial"/>
          <w:sz w:val="20"/>
        </w:rPr>
        <w:t xml:space="preserve"> be </w:t>
      </w:r>
      <w:proofErr w:type="spellStart"/>
      <w:r>
        <w:rPr>
          <w:rFonts w:hAnsi="Arial" w:cs="Arial"/>
          <w:sz w:val="20"/>
        </w:rPr>
        <w:t>able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to</w:t>
      </w:r>
      <w:proofErr w:type="spellEnd"/>
      <w:r>
        <w:rPr>
          <w:rFonts w:hAnsi="Arial" w:cs="Arial"/>
          <w:sz w:val="20"/>
        </w:rPr>
        <w:t xml:space="preserve"> define </w:t>
      </w:r>
      <w:proofErr w:type="spellStart"/>
      <w:r>
        <w:rPr>
          <w:rFonts w:hAnsi="Arial" w:cs="Arial"/>
          <w:sz w:val="20"/>
        </w:rPr>
        <w:t>basic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concepts</w:t>
      </w:r>
      <w:proofErr w:type="spellEnd"/>
      <w:r>
        <w:rPr>
          <w:rFonts w:hAnsi="Arial" w:cs="Arial"/>
          <w:sz w:val="20"/>
        </w:rPr>
        <w:t xml:space="preserve"> in </w:t>
      </w:r>
      <w:proofErr w:type="spellStart"/>
      <w:r>
        <w:rPr>
          <w:rFonts w:hAnsi="Arial" w:cs="Arial"/>
          <w:sz w:val="20"/>
        </w:rPr>
        <w:t>English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Language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Teaching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proofErr w:type="gramStart"/>
      <w:r>
        <w:rPr>
          <w:rFonts w:hAnsi="Arial" w:cs="Arial"/>
          <w:sz w:val="20"/>
        </w:rPr>
        <w:t>context</w:t>
      </w:r>
      <w:proofErr w:type="spellEnd"/>
      <w:r>
        <w:rPr>
          <w:rFonts w:hAnsi="Arial" w:cs="Arial"/>
          <w:sz w:val="20"/>
        </w:rPr>
        <w:t xml:space="preserve">  </w:t>
      </w:r>
      <w:proofErr w:type="spellStart"/>
      <w:r>
        <w:rPr>
          <w:rFonts w:hAnsi="Arial" w:cs="Arial"/>
          <w:sz w:val="20"/>
        </w:rPr>
        <w:t>and</w:t>
      </w:r>
      <w:proofErr w:type="spellEnd"/>
      <w:proofErr w:type="gram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relate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theory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to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practice</w:t>
      </w:r>
      <w:proofErr w:type="spellEnd"/>
      <w:r>
        <w:rPr>
          <w:rFonts w:hAnsi="Arial" w:cs="Arial"/>
          <w:sz w:val="20"/>
        </w:rPr>
        <w:t xml:space="preserve"> in </w:t>
      </w:r>
      <w:proofErr w:type="spellStart"/>
      <w:r>
        <w:rPr>
          <w:rFonts w:hAnsi="Arial" w:cs="Arial"/>
          <w:sz w:val="20"/>
        </w:rPr>
        <w:t>different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educational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contexts</w:t>
      </w:r>
      <w:proofErr w:type="spellEnd"/>
      <w:r>
        <w:rPr>
          <w:rFonts w:hAnsi="Arial" w:cs="Arial"/>
          <w:sz w:val="20"/>
        </w:rPr>
        <w:t xml:space="preserve">. </w:t>
      </w:r>
      <w:proofErr w:type="spellStart"/>
      <w:r>
        <w:rPr>
          <w:rFonts w:hAnsi="Arial" w:cs="Arial"/>
          <w:sz w:val="20"/>
        </w:rPr>
        <w:t>You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will</w:t>
      </w:r>
      <w:proofErr w:type="spellEnd"/>
      <w:r>
        <w:rPr>
          <w:rFonts w:hAnsi="Arial" w:cs="Arial"/>
          <w:sz w:val="20"/>
        </w:rPr>
        <w:t xml:space="preserve"> be </w:t>
      </w:r>
      <w:proofErr w:type="spellStart"/>
      <w:r>
        <w:rPr>
          <w:rFonts w:hAnsi="Arial" w:cs="Arial"/>
          <w:sz w:val="20"/>
        </w:rPr>
        <w:t>able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to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also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compare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contrast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the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applications</w:t>
      </w:r>
      <w:proofErr w:type="spellEnd"/>
      <w:r>
        <w:rPr>
          <w:rFonts w:hAnsi="Arial" w:cs="Arial"/>
          <w:sz w:val="20"/>
        </w:rPr>
        <w:t xml:space="preserve"> of </w:t>
      </w:r>
      <w:proofErr w:type="spellStart"/>
      <w:r>
        <w:rPr>
          <w:rFonts w:hAnsi="Arial" w:cs="Arial"/>
          <w:sz w:val="20"/>
        </w:rPr>
        <w:t>different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approaches</w:t>
      </w:r>
      <w:proofErr w:type="spellEnd"/>
      <w:r>
        <w:rPr>
          <w:rFonts w:hAnsi="Arial" w:cs="Arial"/>
          <w:sz w:val="20"/>
        </w:rPr>
        <w:t xml:space="preserve"> in </w:t>
      </w:r>
      <w:proofErr w:type="gramStart"/>
      <w:r>
        <w:rPr>
          <w:rFonts w:hAnsi="Arial" w:cs="Arial"/>
          <w:sz w:val="20"/>
        </w:rPr>
        <w:t xml:space="preserve">ELT  </w:t>
      </w:r>
      <w:proofErr w:type="spellStart"/>
      <w:r>
        <w:rPr>
          <w:rFonts w:hAnsi="Arial" w:cs="Arial"/>
          <w:sz w:val="20"/>
        </w:rPr>
        <w:t>Furthermore</w:t>
      </w:r>
      <w:proofErr w:type="spellEnd"/>
      <w:proofErr w:type="gramEnd"/>
      <w:r>
        <w:rPr>
          <w:rFonts w:hAnsi="Arial" w:cs="Arial"/>
          <w:sz w:val="20"/>
        </w:rPr>
        <w:t xml:space="preserve">, </w:t>
      </w:r>
      <w:proofErr w:type="spellStart"/>
      <w:r>
        <w:rPr>
          <w:rFonts w:hAnsi="Arial" w:cs="Arial"/>
          <w:sz w:val="20"/>
        </w:rPr>
        <w:t>you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are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required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to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identify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the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effective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characteristics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the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roles</w:t>
      </w:r>
      <w:proofErr w:type="spellEnd"/>
      <w:r>
        <w:rPr>
          <w:rFonts w:hAnsi="Arial" w:cs="Arial"/>
          <w:sz w:val="20"/>
        </w:rPr>
        <w:t xml:space="preserve"> of </w:t>
      </w:r>
      <w:proofErr w:type="spellStart"/>
      <w:r>
        <w:rPr>
          <w:rFonts w:hAnsi="Arial" w:cs="Arial"/>
          <w:sz w:val="20"/>
        </w:rPr>
        <w:t>the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teacher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different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learner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types</w:t>
      </w:r>
      <w:proofErr w:type="spellEnd"/>
      <w:r>
        <w:rPr>
          <w:rFonts w:hAnsi="Arial" w:cs="Arial"/>
          <w:sz w:val="20"/>
        </w:rPr>
        <w:t xml:space="preserve">  </w:t>
      </w:r>
      <w:proofErr w:type="spellStart"/>
      <w:r>
        <w:rPr>
          <w:rFonts w:hAnsi="Arial" w:cs="Arial"/>
          <w:sz w:val="20"/>
        </w:rPr>
        <w:t>and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also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comprehend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the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history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development</w:t>
      </w:r>
      <w:proofErr w:type="spellEnd"/>
      <w:r>
        <w:rPr>
          <w:rFonts w:hAnsi="Arial" w:cs="Arial"/>
          <w:sz w:val="20"/>
        </w:rPr>
        <w:t xml:space="preserve"> of </w:t>
      </w:r>
      <w:proofErr w:type="spellStart"/>
      <w:r>
        <w:rPr>
          <w:rFonts w:hAnsi="Arial" w:cs="Arial"/>
          <w:sz w:val="20"/>
        </w:rPr>
        <w:t>English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Language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Teaching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methods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approaches</w:t>
      </w:r>
      <w:proofErr w:type="spellEnd"/>
      <w:r>
        <w:rPr>
          <w:rFonts w:hAnsi="Arial" w:cs="Arial"/>
          <w:sz w:val="20"/>
        </w:rPr>
        <w:t xml:space="preserve">. </w:t>
      </w:r>
      <w:proofErr w:type="spellStart"/>
      <w:r>
        <w:rPr>
          <w:rFonts w:hAnsi="Arial" w:cs="Arial"/>
          <w:sz w:val="20"/>
        </w:rPr>
        <w:t>In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short</w:t>
      </w:r>
      <w:proofErr w:type="spellEnd"/>
      <w:r>
        <w:rPr>
          <w:rFonts w:hAnsi="Arial" w:cs="Arial"/>
          <w:sz w:val="20"/>
        </w:rPr>
        <w:t xml:space="preserve">, </w:t>
      </w:r>
      <w:proofErr w:type="spellStart"/>
      <w:r>
        <w:rPr>
          <w:rFonts w:hAnsi="Arial" w:cs="Arial"/>
          <w:sz w:val="20"/>
        </w:rPr>
        <w:t>you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will</w:t>
      </w:r>
      <w:proofErr w:type="spellEnd"/>
      <w:r>
        <w:rPr>
          <w:rFonts w:hAnsi="Arial" w:cs="Arial"/>
          <w:sz w:val="20"/>
        </w:rPr>
        <w:t xml:space="preserve"> be </w:t>
      </w:r>
      <w:proofErr w:type="spellStart"/>
      <w:r>
        <w:rPr>
          <w:rFonts w:hAnsi="Arial" w:cs="Arial"/>
          <w:sz w:val="20"/>
        </w:rPr>
        <w:t>able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to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analyze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the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methods</w:t>
      </w:r>
      <w:proofErr w:type="spellEnd"/>
      <w:r>
        <w:rPr>
          <w:rFonts w:hAnsi="Arial" w:cs="Arial"/>
          <w:sz w:val="20"/>
        </w:rPr>
        <w:t xml:space="preserve">, </w:t>
      </w:r>
      <w:proofErr w:type="spellStart"/>
      <w:r>
        <w:rPr>
          <w:rFonts w:hAnsi="Arial" w:cs="Arial"/>
          <w:sz w:val="20"/>
        </w:rPr>
        <w:t>approaches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and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techniques</w:t>
      </w:r>
      <w:proofErr w:type="spellEnd"/>
      <w:r>
        <w:rPr>
          <w:rFonts w:hAnsi="Arial" w:cs="Arial"/>
          <w:sz w:val="20"/>
        </w:rPr>
        <w:t xml:space="preserve"> </w:t>
      </w:r>
      <w:proofErr w:type="spellStart"/>
      <w:r>
        <w:rPr>
          <w:rFonts w:hAnsi="Arial" w:cs="Arial"/>
          <w:sz w:val="20"/>
        </w:rPr>
        <w:t>used</w:t>
      </w:r>
      <w:proofErr w:type="spellEnd"/>
      <w:r>
        <w:rPr>
          <w:rFonts w:hAnsi="Arial" w:cs="Arial"/>
          <w:sz w:val="20"/>
        </w:rPr>
        <w:t xml:space="preserve"> in ELT</w:t>
      </w:r>
      <w:r w:rsidRPr="00A158B0">
        <w:rPr>
          <w:rFonts w:ascii="Times New Roman"/>
          <w:b/>
          <w:bCs/>
          <w:color w:val="000000"/>
          <w:sz w:val="32"/>
          <w:szCs w:val="24"/>
        </w:rPr>
        <w:t xml:space="preserve"> </w:t>
      </w:r>
    </w:p>
    <w:p w:rsidR="00A21FD4" w:rsidRPr="00A158B0" w:rsidRDefault="00A21FD4" w:rsidP="00A21FD4">
      <w:pPr>
        <w:spacing w:before="100" w:beforeAutospacing="1" w:after="100" w:afterAutospacing="1"/>
        <w:jc w:val="both"/>
        <w:rPr>
          <w:rFonts w:ascii="Times New Roman"/>
          <w:b/>
          <w:bCs/>
          <w:color w:val="000000"/>
          <w:sz w:val="32"/>
          <w:szCs w:val="24"/>
        </w:rPr>
      </w:pPr>
      <w:proofErr w:type="spellStart"/>
      <w:r w:rsidRPr="00A158B0">
        <w:rPr>
          <w:rFonts w:ascii="Times New Roman"/>
          <w:b/>
          <w:bCs/>
          <w:color w:val="000000"/>
          <w:sz w:val="32"/>
          <w:szCs w:val="24"/>
        </w:rPr>
        <w:t>Evaluation</w:t>
      </w:r>
      <w:proofErr w:type="spellEnd"/>
      <w:r w:rsidRPr="00A158B0">
        <w:rPr>
          <w:rFonts w:ascii="Times New Roman"/>
          <w:b/>
          <w:bCs/>
          <w:color w:val="000000"/>
          <w:sz w:val="32"/>
          <w:szCs w:val="24"/>
        </w:rPr>
        <w:t xml:space="preserve">: </w:t>
      </w:r>
    </w:p>
    <w:p w:rsidR="00A21FD4" w:rsidRPr="00A158B0" w:rsidRDefault="00A21FD4" w:rsidP="00A21FD4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/>
          <w:color w:val="000000"/>
          <w:szCs w:val="24"/>
        </w:rPr>
      </w:pPr>
      <w:proofErr w:type="spellStart"/>
      <w:r w:rsidRPr="00A158B0">
        <w:rPr>
          <w:rFonts w:ascii="Times New Roman"/>
          <w:color w:val="000000"/>
          <w:szCs w:val="24"/>
        </w:rPr>
        <w:t>Mid</w:t>
      </w:r>
      <w:proofErr w:type="spellEnd"/>
      <w:r w:rsidRPr="00A158B0">
        <w:rPr>
          <w:rFonts w:ascii="Times New Roman"/>
          <w:color w:val="000000"/>
          <w:szCs w:val="24"/>
        </w:rPr>
        <w:t>-</w:t>
      </w:r>
      <w:proofErr w:type="spellStart"/>
      <w:r w:rsidRPr="00A158B0">
        <w:rPr>
          <w:rFonts w:ascii="Times New Roman"/>
          <w:color w:val="000000"/>
          <w:szCs w:val="24"/>
        </w:rPr>
        <w:t>term</w:t>
      </w:r>
      <w:proofErr w:type="spellEnd"/>
      <w:r w:rsidRPr="00A158B0">
        <w:rPr>
          <w:rFonts w:ascii="Times New Roman"/>
          <w:color w:val="000000"/>
          <w:szCs w:val="24"/>
        </w:rPr>
        <w:t xml:space="preserve"> </w:t>
      </w:r>
      <w:proofErr w:type="spellStart"/>
      <w:r w:rsidRPr="00A158B0">
        <w:rPr>
          <w:rFonts w:ascii="Times New Roman"/>
          <w:color w:val="000000"/>
          <w:szCs w:val="24"/>
        </w:rPr>
        <w:t>exam</w:t>
      </w:r>
      <w:proofErr w:type="spellEnd"/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  <w:t>40%</w:t>
      </w:r>
    </w:p>
    <w:p w:rsidR="00A21FD4" w:rsidRPr="00A158B0" w:rsidRDefault="00A21FD4" w:rsidP="00A21FD4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/>
          <w:color w:val="000000"/>
          <w:szCs w:val="24"/>
        </w:rPr>
      </w:pPr>
      <w:proofErr w:type="spellStart"/>
      <w:r w:rsidRPr="00A158B0">
        <w:rPr>
          <w:rFonts w:ascii="Times New Roman"/>
          <w:color w:val="000000"/>
          <w:szCs w:val="24"/>
        </w:rPr>
        <w:t>Presentation</w:t>
      </w:r>
      <w:proofErr w:type="spellEnd"/>
      <w:r w:rsidRPr="00A158B0">
        <w:rPr>
          <w:rFonts w:ascii="Times New Roman"/>
          <w:color w:val="000000"/>
          <w:szCs w:val="24"/>
        </w:rPr>
        <w:t xml:space="preserve"> </w:t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  <w:t>20%</w:t>
      </w:r>
    </w:p>
    <w:p w:rsidR="00A21FD4" w:rsidRPr="00A158B0" w:rsidRDefault="00A21FD4" w:rsidP="00A21FD4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/>
          <w:color w:val="000000"/>
          <w:szCs w:val="24"/>
        </w:rPr>
      </w:pPr>
      <w:r w:rsidRPr="00A158B0">
        <w:rPr>
          <w:rFonts w:ascii="Times New Roman"/>
          <w:color w:val="000000"/>
          <w:szCs w:val="24"/>
        </w:rPr>
        <w:t xml:space="preserve">Final </w:t>
      </w:r>
      <w:proofErr w:type="spellStart"/>
      <w:r w:rsidRPr="00A158B0">
        <w:rPr>
          <w:rFonts w:ascii="Times New Roman"/>
          <w:color w:val="000000"/>
          <w:szCs w:val="24"/>
        </w:rPr>
        <w:t>exam</w:t>
      </w:r>
      <w:proofErr w:type="spellEnd"/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</w:r>
      <w:r w:rsidRPr="00A158B0">
        <w:rPr>
          <w:rFonts w:ascii="Times New Roman"/>
          <w:color w:val="000000"/>
          <w:szCs w:val="24"/>
        </w:rPr>
        <w:tab/>
        <w:t>40%</w:t>
      </w:r>
    </w:p>
    <w:p w:rsidR="00A21FD4" w:rsidRPr="00A158B0" w:rsidRDefault="00A21FD4" w:rsidP="00A21FD4">
      <w:pPr>
        <w:jc w:val="both"/>
        <w:rPr>
          <w:rFonts w:ascii="Times New Roman"/>
          <w:szCs w:val="24"/>
        </w:rPr>
      </w:pPr>
    </w:p>
    <w:p w:rsidR="00A21FD4" w:rsidRPr="00A158B0" w:rsidRDefault="00A21FD4" w:rsidP="00A21FD4">
      <w:pPr>
        <w:jc w:val="both"/>
        <w:rPr>
          <w:rFonts w:ascii="Times New Roman"/>
          <w:b/>
          <w:sz w:val="32"/>
          <w:szCs w:val="24"/>
        </w:rPr>
      </w:pPr>
      <w:proofErr w:type="spellStart"/>
      <w:r w:rsidRPr="00A158B0">
        <w:rPr>
          <w:rFonts w:ascii="Times New Roman"/>
          <w:b/>
          <w:sz w:val="32"/>
          <w:szCs w:val="24"/>
        </w:rPr>
        <w:t>Textbook</w:t>
      </w:r>
      <w:proofErr w:type="spellEnd"/>
      <w:r w:rsidRPr="00A158B0">
        <w:rPr>
          <w:rFonts w:ascii="Times New Roman"/>
          <w:b/>
          <w:sz w:val="32"/>
          <w:szCs w:val="24"/>
        </w:rPr>
        <w:t xml:space="preserve">: </w:t>
      </w:r>
    </w:p>
    <w:p w:rsidR="00A21FD4" w:rsidRDefault="0083392C" w:rsidP="00A21FD4">
      <w:pPr>
        <w:rPr>
          <w:rFonts w:ascii="Times New Roman"/>
          <w:szCs w:val="24"/>
        </w:rPr>
      </w:pPr>
      <w:proofErr w:type="spellStart"/>
      <w:r>
        <w:rPr>
          <w:rFonts w:ascii="Times New Roman"/>
          <w:szCs w:val="24"/>
        </w:rPr>
        <w:t>Larsen</w:t>
      </w:r>
      <w:proofErr w:type="spellEnd"/>
      <w:r>
        <w:rPr>
          <w:rFonts w:ascii="Times New Roman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Freeman</w:t>
      </w:r>
      <w:proofErr w:type="spellEnd"/>
      <w:r>
        <w:rPr>
          <w:rFonts w:ascii="Times New Roman"/>
          <w:szCs w:val="24"/>
        </w:rPr>
        <w:t xml:space="preserve">, D. &amp; </w:t>
      </w:r>
      <w:proofErr w:type="spellStart"/>
      <w:r>
        <w:rPr>
          <w:rFonts w:ascii="Times New Roman"/>
          <w:szCs w:val="24"/>
        </w:rPr>
        <w:t>Anderson</w:t>
      </w:r>
      <w:proofErr w:type="spellEnd"/>
      <w:r>
        <w:rPr>
          <w:rFonts w:ascii="Times New Roman"/>
          <w:szCs w:val="24"/>
        </w:rPr>
        <w:t xml:space="preserve">, M. (2011). </w:t>
      </w:r>
      <w:proofErr w:type="spellStart"/>
      <w:r>
        <w:rPr>
          <w:rFonts w:ascii="Times New Roman"/>
          <w:szCs w:val="24"/>
        </w:rPr>
        <w:t>Techniques</w:t>
      </w:r>
      <w:proofErr w:type="spellEnd"/>
      <w:r>
        <w:rPr>
          <w:rFonts w:ascii="Times New Roman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and</w:t>
      </w:r>
      <w:proofErr w:type="spellEnd"/>
      <w:r>
        <w:rPr>
          <w:rFonts w:ascii="Times New Roman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Principles</w:t>
      </w:r>
      <w:proofErr w:type="spellEnd"/>
      <w:r>
        <w:rPr>
          <w:rFonts w:ascii="Times New Roman"/>
          <w:szCs w:val="24"/>
        </w:rPr>
        <w:t xml:space="preserve"> in </w:t>
      </w:r>
      <w:proofErr w:type="spellStart"/>
      <w:r>
        <w:rPr>
          <w:rFonts w:ascii="Times New Roman"/>
          <w:szCs w:val="24"/>
        </w:rPr>
        <w:t>Language</w:t>
      </w:r>
      <w:proofErr w:type="spellEnd"/>
      <w:r>
        <w:rPr>
          <w:rFonts w:ascii="Times New Roman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Teaching</w:t>
      </w:r>
      <w:proofErr w:type="spellEnd"/>
      <w:r>
        <w:rPr>
          <w:rFonts w:ascii="Times New Roman"/>
          <w:szCs w:val="24"/>
        </w:rPr>
        <w:t>. Oxford</w:t>
      </w:r>
    </w:p>
    <w:p w:rsidR="0083392C" w:rsidRDefault="0083392C" w:rsidP="00A21FD4">
      <w:pPr>
        <w:rPr>
          <w:rFonts w:ascii="Times New Roman"/>
          <w:szCs w:val="24"/>
        </w:rPr>
      </w:pPr>
      <w:proofErr w:type="spellStart"/>
      <w:r>
        <w:rPr>
          <w:rFonts w:ascii="Times New Roman"/>
          <w:szCs w:val="24"/>
        </w:rPr>
        <w:t>Richards</w:t>
      </w:r>
      <w:proofErr w:type="spellEnd"/>
      <w:r>
        <w:rPr>
          <w:rFonts w:ascii="Times New Roman"/>
          <w:szCs w:val="24"/>
        </w:rPr>
        <w:t xml:space="preserve">, J. C. &amp; </w:t>
      </w:r>
      <w:proofErr w:type="spellStart"/>
      <w:r>
        <w:rPr>
          <w:rFonts w:ascii="Times New Roman"/>
          <w:szCs w:val="24"/>
        </w:rPr>
        <w:t>Rodgers</w:t>
      </w:r>
      <w:proofErr w:type="spellEnd"/>
      <w:r>
        <w:rPr>
          <w:rFonts w:ascii="Times New Roman"/>
          <w:szCs w:val="24"/>
        </w:rPr>
        <w:t xml:space="preserve">, T. S. (2001). </w:t>
      </w:r>
      <w:proofErr w:type="spellStart"/>
      <w:r>
        <w:rPr>
          <w:rFonts w:ascii="Times New Roman"/>
          <w:szCs w:val="24"/>
        </w:rPr>
        <w:t>Approaches</w:t>
      </w:r>
      <w:proofErr w:type="spellEnd"/>
      <w:r>
        <w:rPr>
          <w:rFonts w:ascii="Times New Roman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and</w:t>
      </w:r>
      <w:proofErr w:type="spellEnd"/>
      <w:r>
        <w:rPr>
          <w:rFonts w:ascii="Times New Roman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Methods</w:t>
      </w:r>
      <w:proofErr w:type="spellEnd"/>
      <w:r>
        <w:rPr>
          <w:rFonts w:ascii="Times New Roman"/>
          <w:szCs w:val="24"/>
        </w:rPr>
        <w:t xml:space="preserve"> in </w:t>
      </w:r>
      <w:proofErr w:type="spellStart"/>
      <w:r>
        <w:rPr>
          <w:rFonts w:ascii="Times New Roman"/>
          <w:szCs w:val="24"/>
        </w:rPr>
        <w:t>Language</w:t>
      </w:r>
      <w:proofErr w:type="spellEnd"/>
      <w:r>
        <w:rPr>
          <w:rFonts w:ascii="Times New Roman"/>
          <w:szCs w:val="24"/>
        </w:rPr>
        <w:t xml:space="preserve"> </w:t>
      </w:r>
      <w:proofErr w:type="spellStart"/>
      <w:r>
        <w:rPr>
          <w:rFonts w:ascii="Times New Roman"/>
          <w:szCs w:val="24"/>
        </w:rPr>
        <w:t>Teaching</w:t>
      </w:r>
      <w:proofErr w:type="spellEnd"/>
      <w:r>
        <w:rPr>
          <w:rFonts w:ascii="Times New Roman"/>
          <w:szCs w:val="24"/>
        </w:rPr>
        <w:t>. Cambridge</w:t>
      </w:r>
    </w:p>
    <w:p w:rsidR="00A21FD4" w:rsidRPr="00A9680A" w:rsidRDefault="00A21FD4" w:rsidP="00A21FD4">
      <w:pPr>
        <w:jc w:val="center"/>
        <w:rPr>
          <w:b/>
          <w:sz w:val="28"/>
          <w:szCs w:val="28"/>
        </w:rPr>
      </w:pPr>
      <w:r w:rsidRPr="00A9680A">
        <w:rPr>
          <w:b/>
          <w:sz w:val="28"/>
          <w:szCs w:val="28"/>
        </w:rPr>
        <w:lastRenderedPageBreak/>
        <w:t>SCHEDULE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303"/>
        <w:gridCol w:w="2273"/>
        <w:gridCol w:w="2788"/>
      </w:tblGrid>
      <w:tr w:rsidR="00A21FD4" w:rsidTr="0083392C">
        <w:trPr>
          <w:trHeight w:val="549"/>
        </w:trPr>
        <w:tc>
          <w:tcPr>
            <w:tcW w:w="1242" w:type="dxa"/>
          </w:tcPr>
          <w:p w:rsidR="00A21FD4" w:rsidRPr="00A9680A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Week</w:t>
            </w:r>
          </w:p>
        </w:tc>
        <w:tc>
          <w:tcPr>
            <w:tcW w:w="3303" w:type="dxa"/>
          </w:tcPr>
          <w:p w:rsidR="00A21FD4" w:rsidRPr="00A9680A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 xml:space="preserve">Subject </w:t>
            </w:r>
          </w:p>
        </w:tc>
        <w:tc>
          <w:tcPr>
            <w:tcW w:w="2273" w:type="dxa"/>
          </w:tcPr>
          <w:p w:rsidR="00A21FD4" w:rsidRPr="00A9680A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Text</w:t>
            </w:r>
          </w:p>
        </w:tc>
        <w:tc>
          <w:tcPr>
            <w:tcW w:w="2788" w:type="dxa"/>
          </w:tcPr>
          <w:p w:rsidR="00A21FD4" w:rsidRPr="00A9680A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Tasks</w:t>
            </w:r>
          </w:p>
        </w:tc>
      </w:tr>
      <w:tr w:rsidR="00A21FD4" w:rsidTr="0083392C">
        <w:trPr>
          <w:cantSplit/>
          <w:trHeight w:val="1114"/>
        </w:trPr>
        <w:tc>
          <w:tcPr>
            <w:tcW w:w="1242" w:type="dxa"/>
          </w:tcPr>
          <w:p w:rsidR="00A21FD4" w:rsidRPr="00A9680A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1. Week</w:t>
            </w:r>
          </w:p>
        </w:tc>
        <w:tc>
          <w:tcPr>
            <w:tcW w:w="3303" w:type="dxa"/>
          </w:tcPr>
          <w:p w:rsidR="00A21FD4" w:rsidRPr="006B76E9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sz w:val="22"/>
                <w:szCs w:val="22"/>
                <w:lang w:val="en-US"/>
              </w:rPr>
            </w:pPr>
            <w:r w:rsidRPr="006B76E9">
              <w:rPr>
                <w:bCs/>
                <w:sz w:val="22"/>
                <w:szCs w:val="22"/>
                <w:lang w:val="en-US"/>
              </w:rPr>
              <w:t>Course Introduction</w:t>
            </w:r>
          </w:p>
          <w:p w:rsidR="00A21FD4" w:rsidRPr="006B76E9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 w:rsidRPr="006B76E9">
              <w:rPr>
                <w:bCs/>
                <w:sz w:val="22"/>
                <w:szCs w:val="22"/>
                <w:lang w:val="en-US"/>
              </w:rPr>
              <w:t>Understanding Expectations, Requirements, and the Weekly Menu</w:t>
            </w:r>
          </w:p>
        </w:tc>
        <w:tc>
          <w:tcPr>
            <w:tcW w:w="2273" w:type="dxa"/>
          </w:tcPr>
          <w:p w:rsidR="00A21FD4" w:rsidRPr="006B76E9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</w:p>
        </w:tc>
        <w:tc>
          <w:tcPr>
            <w:tcW w:w="2788" w:type="dxa"/>
          </w:tcPr>
          <w:p w:rsidR="00A21FD4" w:rsidRPr="006B76E9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 w:rsidRPr="006B76E9">
              <w:rPr>
                <w:bCs/>
                <w:lang w:val="en-US"/>
              </w:rPr>
              <w:t>Please, attend first class!</w:t>
            </w:r>
          </w:p>
        </w:tc>
      </w:tr>
      <w:tr w:rsidR="00A21FD4" w:rsidTr="0083392C">
        <w:trPr>
          <w:cantSplit/>
          <w:trHeight w:val="620"/>
        </w:trPr>
        <w:tc>
          <w:tcPr>
            <w:tcW w:w="1242" w:type="dxa"/>
          </w:tcPr>
          <w:p w:rsidR="00A21FD4" w:rsidRPr="00A9680A" w:rsidRDefault="00A21FD4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2. Week</w:t>
            </w:r>
          </w:p>
        </w:tc>
        <w:tc>
          <w:tcPr>
            <w:tcW w:w="3303" w:type="dxa"/>
          </w:tcPr>
          <w:p w:rsidR="00A21FD4" w:rsidRPr="006B76E9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Approaches and Methods in Language Teaching</w:t>
            </w:r>
          </w:p>
        </w:tc>
        <w:tc>
          <w:tcPr>
            <w:tcW w:w="2273" w:type="dxa"/>
          </w:tcPr>
          <w:p w:rsidR="00A21FD4" w:rsidRPr="006B76E9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Part I-2</w:t>
            </w:r>
          </w:p>
        </w:tc>
        <w:tc>
          <w:tcPr>
            <w:tcW w:w="2788" w:type="dxa"/>
          </w:tcPr>
          <w:p w:rsidR="00A21FD4" w:rsidRPr="006B76E9" w:rsidRDefault="0083392C" w:rsidP="0083392C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Richards&amp;Rodgers</w:t>
            </w:r>
            <w:proofErr w:type="spellEnd"/>
            <w:r>
              <w:rPr>
                <w:bCs/>
                <w:lang w:val="en-US"/>
              </w:rPr>
              <w:t xml:space="preserve"> (2001)</w:t>
            </w:r>
          </w:p>
        </w:tc>
      </w:tr>
      <w:tr w:rsidR="0083392C" w:rsidTr="0083392C">
        <w:trPr>
          <w:cantSplit/>
          <w:trHeight w:val="548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3. Week</w:t>
            </w:r>
          </w:p>
        </w:tc>
        <w:tc>
          <w:tcPr>
            <w:tcW w:w="330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Grammar Translation Method</w:t>
            </w:r>
          </w:p>
        </w:tc>
        <w:tc>
          <w:tcPr>
            <w:tcW w:w="227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2</w:t>
            </w: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570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4. Week</w:t>
            </w:r>
          </w:p>
        </w:tc>
        <w:tc>
          <w:tcPr>
            <w:tcW w:w="330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Direct Method</w:t>
            </w:r>
          </w:p>
        </w:tc>
        <w:tc>
          <w:tcPr>
            <w:tcW w:w="227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3</w:t>
            </w: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551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5. Week</w:t>
            </w:r>
          </w:p>
        </w:tc>
        <w:tc>
          <w:tcPr>
            <w:tcW w:w="330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Audio-Lingual Method</w:t>
            </w:r>
          </w:p>
        </w:tc>
        <w:tc>
          <w:tcPr>
            <w:tcW w:w="227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4</w:t>
            </w: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544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6. Week</w:t>
            </w:r>
          </w:p>
        </w:tc>
        <w:tc>
          <w:tcPr>
            <w:tcW w:w="330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Silent Way</w:t>
            </w:r>
          </w:p>
        </w:tc>
        <w:tc>
          <w:tcPr>
            <w:tcW w:w="227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5</w:t>
            </w: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552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7. Week</w:t>
            </w:r>
          </w:p>
        </w:tc>
        <w:tc>
          <w:tcPr>
            <w:tcW w:w="330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Desuggestopedia</w:t>
            </w:r>
            <w:proofErr w:type="spellEnd"/>
          </w:p>
        </w:tc>
        <w:tc>
          <w:tcPr>
            <w:tcW w:w="227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6</w:t>
            </w: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561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8. Week</w:t>
            </w:r>
          </w:p>
        </w:tc>
        <w:tc>
          <w:tcPr>
            <w:tcW w:w="8364" w:type="dxa"/>
            <w:gridSpan w:val="3"/>
          </w:tcPr>
          <w:p w:rsidR="0083392C" w:rsidRPr="00C2019B" w:rsidRDefault="0083392C" w:rsidP="00020A02">
            <w:pPr>
              <w:pStyle w:val="Default"/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36"/>
                <w:lang w:val="en-US"/>
              </w:rPr>
            </w:pPr>
            <w:r>
              <w:rPr>
                <w:b/>
                <w:bCs/>
                <w:sz w:val="36"/>
                <w:lang w:val="en-US"/>
              </w:rPr>
              <w:t>REVISION</w:t>
            </w:r>
          </w:p>
        </w:tc>
      </w:tr>
      <w:tr w:rsidR="0083392C" w:rsidTr="0083392C">
        <w:trPr>
          <w:cantSplit/>
          <w:trHeight w:val="554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9. Week</w:t>
            </w:r>
          </w:p>
        </w:tc>
        <w:tc>
          <w:tcPr>
            <w:tcW w:w="3303" w:type="dxa"/>
          </w:tcPr>
          <w:p w:rsidR="0083392C" w:rsidRPr="006B76E9" w:rsidRDefault="0083392C" w:rsidP="00C029C3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Community Language Learning</w:t>
            </w:r>
          </w:p>
        </w:tc>
        <w:tc>
          <w:tcPr>
            <w:tcW w:w="2273" w:type="dxa"/>
          </w:tcPr>
          <w:p w:rsidR="0083392C" w:rsidRPr="006B76E9" w:rsidRDefault="0083392C" w:rsidP="008A6638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Chapter </w:t>
            </w:r>
            <w:r w:rsidR="008A6638">
              <w:rPr>
                <w:bCs/>
                <w:lang w:val="en-US"/>
              </w:rPr>
              <w:t>7</w:t>
            </w:r>
          </w:p>
        </w:tc>
        <w:tc>
          <w:tcPr>
            <w:tcW w:w="2788" w:type="dxa"/>
          </w:tcPr>
          <w:p w:rsidR="0083392C" w:rsidRPr="006B76E9" w:rsidRDefault="008A6638" w:rsidP="00C029C3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563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10. Week</w:t>
            </w:r>
          </w:p>
        </w:tc>
        <w:tc>
          <w:tcPr>
            <w:tcW w:w="330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Total Physical Response</w:t>
            </w:r>
          </w:p>
        </w:tc>
        <w:tc>
          <w:tcPr>
            <w:tcW w:w="2273" w:type="dxa"/>
          </w:tcPr>
          <w:p w:rsidR="0083392C" w:rsidRPr="006B76E9" w:rsidRDefault="0083392C" w:rsidP="008A6638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Chapter </w:t>
            </w:r>
            <w:r w:rsidR="008A6638">
              <w:rPr>
                <w:bCs/>
                <w:lang w:val="en-US"/>
              </w:rPr>
              <w:t>7</w:t>
            </w: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1114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11. Week</w:t>
            </w:r>
          </w:p>
        </w:tc>
        <w:tc>
          <w:tcPr>
            <w:tcW w:w="3303" w:type="dxa"/>
          </w:tcPr>
          <w:p w:rsidR="0083392C" w:rsidRPr="007E1D16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Communicative Language Teaching</w:t>
            </w:r>
          </w:p>
        </w:tc>
        <w:tc>
          <w:tcPr>
            <w:tcW w:w="2273" w:type="dxa"/>
          </w:tcPr>
          <w:p w:rsidR="0083392C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8</w:t>
            </w:r>
          </w:p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1114"/>
        </w:trPr>
        <w:tc>
          <w:tcPr>
            <w:tcW w:w="1242" w:type="dxa"/>
          </w:tcPr>
          <w:p w:rsidR="0083392C" w:rsidRPr="00A9680A" w:rsidRDefault="0083392C" w:rsidP="00687A8F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12. Week</w:t>
            </w:r>
          </w:p>
        </w:tc>
        <w:tc>
          <w:tcPr>
            <w:tcW w:w="3303" w:type="dxa"/>
          </w:tcPr>
          <w:p w:rsidR="0083392C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Content-based Instruction</w:t>
            </w:r>
          </w:p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</w:p>
        </w:tc>
        <w:tc>
          <w:tcPr>
            <w:tcW w:w="2273" w:type="dxa"/>
          </w:tcPr>
          <w:p w:rsidR="0083392C" w:rsidRPr="006B76E9" w:rsidRDefault="0083392C" w:rsidP="008A6638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Chapter </w:t>
            </w:r>
            <w:r w:rsidR="008A6638">
              <w:rPr>
                <w:bCs/>
                <w:lang w:val="en-US"/>
              </w:rPr>
              <w:t>9</w:t>
            </w:r>
          </w:p>
        </w:tc>
        <w:tc>
          <w:tcPr>
            <w:tcW w:w="2788" w:type="dxa"/>
          </w:tcPr>
          <w:p w:rsidR="0083392C" w:rsidRPr="006B76E9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1114"/>
        </w:trPr>
        <w:tc>
          <w:tcPr>
            <w:tcW w:w="1242" w:type="dxa"/>
          </w:tcPr>
          <w:p w:rsidR="0083392C" w:rsidRPr="00A9680A" w:rsidRDefault="008A6638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13. Week</w:t>
            </w:r>
          </w:p>
        </w:tc>
        <w:tc>
          <w:tcPr>
            <w:tcW w:w="3303" w:type="dxa"/>
          </w:tcPr>
          <w:p w:rsidR="0083392C" w:rsidRPr="006B76E9" w:rsidRDefault="0083392C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Task-based Language Teaching</w:t>
            </w:r>
          </w:p>
        </w:tc>
        <w:tc>
          <w:tcPr>
            <w:tcW w:w="2273" w:type="dxa"/>
          </w:tcPr>
          <w:p w:rsidR="0083392C" w:rsidRDefault="008A6638" w:rsidP="003C3DDA">
            <w:pPr>
              <w:pStyle w:val="Default"/>
              <w:tabs>
                <w:tab w:val="center" w:pos="4320"/>
                <w:tab w:val="right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10</w:t>
            </w:r>
          </w:p>
        </w:tc>
        <w:tc>
          <w:tcPr>
            <w:tcW w:w="2788" w:type="dxa"/>
          </w:tcPr>
          <w:p w:rsidR="0083392C" w:rsidRDefault="008A6638" w:rsidP="003C3DDA">
            <w:pPr>
              <w:pStyle w:val="Default"/>
              <w:tabs>
                <w:tab w:val="center" w:pos="4320"/>
                <w:tab w:val="right" w:pos="8640"/>
              </w:tabs>
            </w:pPr>
            <w:proofErr w:type="spellStart"/>
            <w:r>
              <w:t>Larseen</w:t>
            </w:r>
            <w:proofErr w:type="spellEnd"/>
            <w:r>
              <w:t>-</w:t>
            </w:r>
            <w:proofErr w:type="spellStart"/>
            <w:r>
              <w:t>Freeman</w:t>
            </w:r>
            <w:proofErr w:type="spellEnd"/>
            <w:r>
              <w:t xml:space="preserve"> (2011)</w:t>
            </w:r>
          </w:p>
        </w:tc>
      </w:tr>
      <w:tr w:rsidR="0083392C" w:rsidTr="0083392C">
        <w:trPr>
          <w:cantSplit/>
          <w:trHeight w:val="557"/>
        </w:trPr>
        <w:tc>
          <w:tcPr>
            <w:tcW w:w="1242" w:type="dxa"/>
          </w:tcPr>
          <w:p w:rsidR="0083392C" w:rsidRPr="00A9680A" w:rsidRDefault="0083392C" w:rsidP="00020A02">
            <w:pPr>
              <w:pStyle w:val="Default"/>
              <w:tabs>
                <w:tab w:val="center" w:pos="4320"/>
                <w:tab w:val="right" w:pos="8640"/>
              </w:tabs>
              <w:rPr>
                <w:b/>
                <w:bCs/>
                <w:lang w:val="en-US"/>
              </w:rPr>
            </w:pPr>
            <w:r w:rsidRPr="00A9680A">
              <w:rPr>
                <w:b/>
                <w:bCs/>
                <w:lang w:val="en-US"/>
              </w:rPr>
              <w:t>14. Week</w:t>
            </w:r>
          </w:p>
        </w:tc>
        <w:tc>
          <w:tcPr>
            <w:tcW w:w="8364" w:type="dxa"/>
            <w:gridSpan w:val="3"/>
          </w:tcPr>
          <w:p w:rsidR="0083392C" w:rsidRPr="006B76E9" w:rsidRDefault="008A6638" w:rsidP="008A6638">
            <w:pPr>
              <w:pStyle w:val="Default"/>
              <w:tabs>
                <w:tab w:val="center" w:pos="4320"/>
                <w:tab w:val="right" w:pos="8640"/>
              </w:tabs>
              <w:jc w:val="center"/>
              <w:rPr>
                <w:bCs/>
                <w:lang w:val="en-US"/>
              </w:rPr>
            </w:pPr>
            <w:r>
              <w:rPr>
                <w:b/>
                <w:bCs/>
                <w:sz w:val="36"/>
                <w:lang w:val="en-US"/>
              </w:rPr>
              <w:t>GENERAL REVISION</w:t>
            </w:r>
          </w:p>
        </w:tc>
      </w:tr>
    </w:tbl>
    <w:p w:rsidR="00A21FD4" w:rsidRPr="002C6D44" w:rsidRDefault="00A21FD4" w:rsidP="00A21FD4"/>
    <w:p w:rsidR="00A21FD4" w:rsidRPr="002C6D44" w:rsidRDefault="00A21FD4" w:rsidP="00A21FD4"/>
    <w:p w:rsidR="00A21FD4" w:rsidRPr="002C6D44" w:rsidRDefault="00A21FD4" w:rsidP="00A21FD4"/>
    <w:p w:rsidR="00A21FD4" w:rsidRPr="002C6D44" w:rsidRDefault="00A21FD4" w:rsidP="00A21FD4">
      <w:pPr>
        <w:rPr>
          <w:rFonts w:cs="Verdana"/>
          <w:szCs w:val="44"/>
          <w:lang w:bidi="en-US"/>
        </w:rPr>
      </w:pPr>
    </w:p>
    <w:p w:rsidR="00F87580" w:rsidRDefault="00F87580"/>
    <w:sectPr w:rsidR="00F87580" w:rsidSect="00F8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D1036"/>
    <w:multiLevelType w:val="hybridMultilevel"/>
    <w:tmpl w:val="CF7A06BE"/>
    <w:lvl w:ilvl="0" w:tplc="8934F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21FD4"/>
    <w:rsid w:val="001C3B47"/>
    <w:rsid w:val="00377534"/>
    <w:rsid w:val="00443230"/>
    <w:rsid w:val="004B35B2"/>
    <w:rsid w:val="005130E9"/>
    <w:rsid w:val="00576BC0"/>
    <w:rsid w:val="005B54D6"/>
    <w:rsid w:val="005C7BEE"/>
    <w:rsid w:val="006341D3"/>
    <w:rsid w:val="007025BE"/>
    <w:rsid w:val="00750E7C"/>
    <w:rsid w:val="007C0DA9"/>
    <w:rsid w:val="0081179A"/>
    <w:rsid w:val="0083392C"/>
    <w:rsid w:val="008A6638"/>
    <w:rsid w:val="009C28B6"/>
    <w:rsid w:val="00A21FD4"/>
    <w:rsid w:val="00AE2A83"/>
    <w:rsid w:val="00C47A83"/>
    <w:rsid w:val="00CD7C90"/>
    <w:rsid w:val="00D316AE"/>
    <w:rsid w:val="00D9487E"/>
    <w:rsid w:val="00F57091"/>
    <w:rsid w:val="00F87580"/>
    <w:rsid w:val="00FB64F7"/>
    <w:rsid w:val="00FD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sz w:val="24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21FD4"/>
  </w:style>
  <w:style w:type="paragraph" w:styleId="Balk1">
    <w:name w:val="heading 1"/>
    <w:basedOn w:val="Normal"/>
    <w:next w:val="Normal"/>
    <w:link w:val="Balk1Char"/>
    <w:uiPriority w:val="9"/>
    <w:rsid w:val="00D31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1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rsid w:val="00D316A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316AE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rsid w:val="00D316AE"/>
    <w:pPr>
      <w:outlineLvl w:val="9"/>
    </w:pPr>
  </w:style>
  <w:style w:type="paragraph" w:customStyle="1" w:styleId="ListeParagraf1">
    <w:name w:val="Liste Paragraf1"/>
    <w:basedOn w:val="Normal"/>
    <w:rsid w:val="00D316AE"/>
    <w:pPr>
      <w:ind w:left="720"/>
      <w:contextualSpacing/>
    </w:pPr>
    <w:rPr>
      <w:rFonts w:ascii="Calibri" w:eastAsia="Calibri" w:hAnsi="Calibri"/>
    </w:rPr>
  </w:style>
  <w:style w:type="paragraph" w:customStyle="1" w:styleId="Normal0">
    <w:name w:val="[Normal]"/>
    <w:qFormat/>
    <w:rsid w:val="00FD745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character" w:styleId="Kpr">
    <w:name w:val="Hyperlink"/>
    <w:basedOn w:val="VarsaylanParagrafYazTipi"/>
    <w:rsid w:val="00A21FD4"/>
    <w:rPr>
      <w:color w:val="0000FF"/>
      <w:u w:val="single"/>
    </w:rPr>
  </w:style>
  <w:style w:type="paragraph" w:customStyle="1" w:styleId="Default">
    <w:name w:val="Default"/>
    <w:rsid w:val="00A21FD4"/>
    <w:pPr>
      <w:autoSpaceDE w:val="0"/>
      <w:autoSpaceDN w:val="0"/>
      <w:adjustRightInd w:val="0"/>
      <w:spacing w:after="0" w:line="240" w:lineRule="auto"/>
    </w:pPr>
    <w:rPr>
      <w:rFonts w:ascii="Times New Roman" w:eastAsia="Calibri"/>
      <w:color w:val="00000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e.yazici@ataun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6</cp:revision>
  <cp:lastPrinted>2018-02-09T17:02:00Z</cp:lastPrinted>
  <dcterms:created xsi:type="dcterms:W3CDTF">2018-10-01T17:43:00Z</dcterms:created>
  <dcterms:modified xsi:type="dcterms:W3CDTF">2019-10-07T20:09:00Z</dcterms:modified>
</cp:coreProperties>
</file>